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26C7" w:rsidRDefault="002B26C7" w:rsidP="002B26C7">
      <w:pPr>
        <w:bidi w:val="0"/>
        <w:spacing w:after="0" w:line="360" w:lineRule="auto"/>
        <w:jc w:val="both"/>
        <w:rPr>
          <w:rFonts w:ascii="Times New Roman" w:eastAsia="Times New Roman" w:hAnsi="Times New Roman" w:cs="David"/>
          <w:b/>
          <w:bCs/>
          <w:sz w:val="32"/>
          <w:szCs w:val="32"/>
          <w:u w:val="single"/>
          <w:rtl/>
        </w:rPr>
      </w:pPr>
      <w:r>
        <w:rPr>
          <w:rFonts w:ascii="Times New Roman" w:eastAsia="Times New Roman" w:hAnsi="Times New Roman" w:cs="David" w:hint="eastAsia"/>
          <w:sz w:val="24"/>
          <w:szCs w:val="24"/>
          <w:rtl/>
        </w:rPr>
        <w:t>יום ראשון</w:t>
      </w:r>
      <w:r>
        <w:rPr>
          <w:rFonts w:ascii="Times New Roman" w:eastAsia="Times New Roman" w:hAnsi="Times New Roman" w:cs="David"/>
          <w:sz w:val="24"/>
          <w:szCs w:val="24"/>
          <w:rtl/>
        </w:rPr>
        <w:t xml:space="preserve"> 08 יוני 2014</w:t>
      </w:r>
    </w:p>
    <w:p w:rsidR="00DD481F" w:rsidRPr="00DD481F" w:rsidRDefault="00DD481F" w:rsidP="00DD481F">
      <w:pPr>
        <w:spacing w:after="0" w:line="360" w:lineRule="auto"/>
        <w:jc w:val="center"/>
        <w:rPr>
          <w:rFonts w:ascii="Times New Roman" w:eastAsia="Times New Roman" w:hAnsi="Times New Roman" w:cs="David"/>
          <w:b/>
          <w:bCs/>
          <w:sz w:val="32"/>
          <w:szCs w:val="32"/>
          <w:u w:val="single"/>
          <w:rtl/>
        </w:rPr>
      </w:pPr>
      <w:r w:rsidRPr="00DD481F">
        <w:rPr>
          <w:rFonts w:ascii="Times New Roman" w:eastAsia="Times New Roman" w:hAnsi="Times New Roman" w:cs="David" w:hint="cs"/>
          <w:b/>
          <w:bCs/>
          <w:sz w:val="32"/>
          <w:szCs w:val="32"/>
          <w:u w:val="single"/>
          <w:rtl/>
        </w:rPr>
        <w:t xml:space="preserve">פרוטוקול ועדת מכרזים </w:t>
      </w:r>
      <w:r>
        <w:rPr>
          <w:rFonts w:ascii="Times New Roman" w:eastAsia="Times New Roman" w:hAnsi="Times New Roman" w:cs="David"/>
          <w:b/>
          <w:bCs/>
          <w:sz w:val="32"/>
          <w:szCs w:val="32"/>
          <w:u w:val="single"/>
          <w:rtl/>
        </w:rPr>
        <w:t>–</w:t>
      </w:r>
      <w:r w:rsidRPr="00DD481F">
        <w:rPr>
          <w:rFonts w:ascii="Times New Roman" w:eastAsia="Times New Roman" w:hAnsi="Times New Roman" w:cs="David" w:hint="cs"/>
          <w:b/>
          <w:bCs/>
          <w:sz w:val="32"/>
          <w:szCs w:val="32"/>
          <w:u w:val="single"/>
          <w:rtl/>
        </w:rPr>
        <w:t xml:space="preserve"> </w:t>
      </w:r>
      <w:r>
        <w:rPr>
          <w:rFonts w:ascii="Times New Roman" w:eastAsia="Times New Roman" w:hAnsi="Times New Roman" w:cs="David" w:hint="cs"/>
          <w:b/>
          <w:bCs/>
          <w:sz w:val="32"/>
          <w:szCs w:val="32"/>
          <w:u w:val="single"/>
          <w:rtl/>
        </w:rPr>
        <w:t>"נוער מוביל שינויי" (אחריי)</w:t>
      </w:r>
    </w:p>
    <w:p w:rsidR="00DD481F" w:rsidRPr="00DD481F" w:rsidRDefault="00DD481F" w:rsidP="009A2495">
      <w:pPr>
        <w:spacing w:after="0"/>
        <w:jc w:val="both"/>
        <w:rPr>
          <w:rFonts w:ascii="Times New Roman" w:eastAsia="Times New Roman" w:hAnsi="Times New Roman" w:cs="David"/>
          <w:sz w:val="24"/>
          <w:szCs w:val="24"/>
          <w:rtl/>
        </w:rPr>
      </w:pPr>
      <w:r w:rsidRPr="00DD481F">
        <w:rPr>
          <w:rFonts w:ascii="Times New Roman" w:eastAsia="Times New Roman" w:hAnsi="Times New Roman" w:cs="David" w:hint="cs"/>
          <w:b/>
          <w:bCs/>
          <w:sz w:val="24"/>
          <w:szCs w:val="24"/>
          <w:rtl/>
        </w:rPr>
        <w:t>משתתפים</w:t>
      </w:r>
      <w:r w:rsidRPr="00DD481F">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סיגל שאלתיאל הלוי</w:t>
      </w:r>
      <w:r w:rsidRPr="00DD481F">
        <w:rPr>
          <w:rFonts w:ascii="Times New Roman" w:eastAsia="Times New Roman" w:hAnsi="Times New Roman" w:cs="David" w:hint="cs"/>
          <w:sz w:val="24"/>
          <w:szCs w:val="24"/>
          <w:rtl/>
        </w:rPr>
        <w:t xml:space="preserve">, מנכ"לית המשרד </w:t>
      </w:r>
      <w:r>
        <w:rPr>
          <w:rFonts w:ascii="Times New Roman" w:eastAsia="Times New Roman" w:hAnsi="Times New Roman" w:cs="David" w:hint="cs"/>
          <w:sz w:val="24"/>
          <w:szCs w:val="24"/>
          <w:rtl/>
        </w:rPr>
        <w:t>לפיתוח הנגב והגליל</w:t>
      </w:r>
      <w:r w:rsidRPr="00DD481F">
        <w:rPr>
          <w:rFonts w:ascii="Times New Roman" w:eastAsia="Times New Roman" w:hAnsi="Times New Roman" w:cs="David" w:hint="cs"/>
          <w:sz w:val="24"/>
          <w:szCs w:val="24"/>
          <w:rtl/>
        </w:rPr>
        <w:t xml:space="preserve">; עמנואל מודריק – חשב המשרד; עו"ד </w:t>
      </w:r>
      <w:r w:rsidR="002B26C7">
        <w:rPr>
          <w:rFonts w:ascii="Times New Roman" w:eastAsia="Times New Roman" w:hAnsi="Times New Roman" w:cs="David" w:hint="cs"/>
          <w:sz w:val="24"/>
          <w:szCs w:val="24"/>
          <w:rtl/>
        </w:rPr>
        <w:t>אריאל כהאן</w:t>
      </w:r>
      <w:r w:rsidRPr="00DD481F">
        <w:rPr>
          <w:rFonts w:ascii="Times New Roman" w:eastAsia="Times New Roman" w:hAnsi="Times New Roman" w:cs="David" w:hint="cs"/>
          <w:sz w:val="24"/>
          <w:szCs w:val="24"/>
          <w:rtl/>
        </w:rPr>
        <w:t xml:space="preserve"> – </w:t>
      </w:r>
      <w:r w:rsidR="006A527B">
        <w:rPr>
          <w:rFonts w:ascii="Times New Roman" w:eastAsia="Times New Roman" w:hAnsi="Times New Roman" w:cs="David" w:hint="cs"/>
          <w:sz w:val="24"/>
          <w:szCs w:val="24"/>
          <w:rtl/>
        </w:rPr>
        <w:t>מחלקה משפטית</w:t>
      </w:r>
      <w:r w:rsidRPr="00DD481F">
        <w:rPr>
          <w:rFonts w:ascii="Times New Roman" w:eastAsia="Times New Roman" w:hAnsi="Times New Roman" w:cs="David" w:hint="cs"/>
          <w:sz w:val="24"/>
          <w:szCs w:val="24"/>
          <w:rtl/>
        </w:rPr>
        <w:t>.</w:t>
      </w:r>
    </w:p>
    <w:p w:rsidR="00DD481F" w:rsidRPr="009466CF" w:rsidRDefault="00DD481F" w:rsidP="009A2495">
      <w:pPr>
        <w:spacing w:after="0"/>
        <w:jc w:val="both"/>
        <w:rPr>
          <w:rFonts w:ascii="Times New Roman" w:eastAsia="Times New Roman" w:hAnsi="Times New Roman" w:cs="David"/>
          <w:sz w:val="8"/>
          <w:szCs w:val="8"/>
          <w:rtl/>
        </w:rPr>
      </w:pPr>
    </w:p>
    <w:p w:rsidR="002B26C7" w:rsidRDefault="002B26C7" w:rsidP="009A2495">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בהמשך </w:t>
      </w:r>
      <w:bookmarkStart w:id="0" w:name="_GoBack"/>
      <w:bookmarkEnd w:id="0"/>
      <w:r>
        <w:rPr>
          <w:rFonts w:ascii="Times New Roman" w:eastAsia="Times New Roman" w:hAnsi="Times New Roman" w:cs="David" w:hint="cs"/>
          <w:sz w:val="24"/>
          <w:szCs w:val="24"/>
          <w:rtl/>
        </w:rPr>
        <w:t>לפרוטוקול ועדת המכרזים הראשון ולהערות ועדת הפטור, ועדת המכרזים של המשרד לפיתוח הנגב והגליל מבהירה בזאת את הנקודות הבאות:</w:t>
      </w:r>
    </w:p>
    <w:p w:rsidR="002B26C7" w:rsidRPr="009466CF" w:rsidRDefault="002B26C7" w:rsidP="009A2495">
      <w:pPr>
        <w:spacing w:after="0"/>
        <w:jc w:val="both"/>
        <w:rPr>
          <w:rFonts w:ascii="Times New Roman" w:eastAsia="Times New Roman" w:hAnsi="Times New Roman" w:cs="David"/>
          <w:sz w:val="8"/>
          <w:szCs w:val="8"/>
          <w:rtl/>
        </w:rPr>
      </w:pPr>
    </w:p>
    <w:p w:rsidR="00210414" w:rsidRDefault="00210414" w:rsidP="009A2495">
      <w:pPr>
        <w:pStyle w:val="a9"/>
        <w:numPr>
          <w:ilvl w:val="0"/>
          <w:numId w:val="1"/>
        </w:numPr>
        <w:spacing w:after="0"/>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לא נעשה פרסום מוקדם בטרם </w:t>
      </w:r>
      <w:r w:rsidR="002B26C7" w:rsidRPr="002B26C7">
        <w:rPr>
          <w:rFonts w:ascii="Times New Roman" w:eastAsia="Times New Roman" w:hAnsi="Times New Roman" w:cs="David" w:hint="cs"/>
          <w:sz w:val="24"/>
          <w:szCs w:val="24"/>
          <w:rtl/>
        </w:rPr>
        <w:t>פנייה לוועדת הפטור על פי תקנה 3(</w:t>
      </w:r>
      <w:r>
        <w:rPr>
          <w:rFonts w:ascii="Times New Roman" w:eastAsia="Times New Roman" w:hAnsi="Times New Roman" w:cs="David" w:hint="cs"/>
          <w:sz w:val="24"/>
          <w:szCs w:val="24"/>
          <w:rtl/>
        </w:rPr>
        <w:t>4)(ב)(3), שכן אין מדובר במיזם חדש לפי תקנה 3(30)</w:t>
      </w:r>
      <w:r w:rsidR="007C73F1">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אלא בהארכת התקשרות</w:t>
      </w:r>
      <w:r w:rsidR="007C73F1">
        <w:rPr>
          <w:rFonts w:ascii="Times New Roman" w:eastAsia="Times New Roman" w:hAnsi="Times New Roman" w:cs="David" w:hint="cs"/>
          <w:sz w:val="24"/>
          <w:szCs w:val="24"/>
          <w:rtl/>
        </w:rPr>
        <w:t xml:space="preserve"> אחרונה</w:t>
      </w:r>
      <w:r>
        <w:rPr>
          <w:rFonts w:ascii="Times New Roman" w:eastAsia="Times New Roman" w:hAnsi="Times New Roman" w:cs="David" w:hint="cs"/>
          <w:sz w:val="24"/>
          <w:szCs w:val="24"/>
          <w:rtl/>
        </w:rPr>
        <w:t xml:space="preserve"> של מיזם העומד בפני סיום</w:t>
      </w:r>
      <w:r w:rsidR="002B26C7" w:rsidRPr="002B26C7">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יצוין בהקשר זה, כי </w:t>
      </w:r>
      <w:r w:rsidR="007C73F1">
        <w:rPr>
          <w:rFonts w:ascii="Times New Roman" w:eastAsia="Times New Roman" w:hAnsi="Times New Roman" w:cs="David" w:hint="cs"/>
          <w:sz w:val="24"/>
          <w:szCs w:val="24"/>
          <w:rtl/>
        </w:rPr>
        <w:t>בפעמים קודמות בהן נערכה פנייה לוועדת הפטור מכוח סעיף זה, לא עלתה דרישת הפרסום.</w:t>
      </w:r>
    </w:p>
    <w:p w:rsidR="009466CF" w:rsidRDefault="00210414" w:rsidP="009A2495">
      <w:pPr>
        <w:pStyle w:val="a9"/>
        <w:numPr>
          <w:ilvl w:val="0"/>
          <w:numId w:val="1"/>
        </w:numPr>
        <w:spacing w:after="0"/>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 </w:t>
      </w:r>
      <w:r w:rsidR="006D1B37">
        <w:rPr>
          <w:rFonts w:ascii="Times New Roman" w:eastAsia="Times New Roman" w:hAnsi="Times New Roman" w:cs="David" w:hint="cs"/>
          <w:sz w:val="24"/>
          <w:szCs w:val="24"/>
          <w:rtl/>
        </w:rPr>
        <w:t xml:space="preserve">ועדת המכרזים משנה בזאת את החלטתה. בקשת הוועדה היא לאישור התקשרות לתקופה של שנה אחת בלבד, ללא אופציות נוספות. ככל שהמשרד ירצה להמשיך לפעול בתחום זה, הוא יפרסם מכרז פומבי לרכישת </w:t>
      </w:r>
      <w:r w:rsidR="009466CF">
        <w:rPr>
          <w:rFonts w:ascii="Times New Roman" w:eastAsia="Times New Roman" w:hAnsi="Times New Roman" w:cs="David" w:hint="cs"/>
          <w:sz w:val="24"/>
          <w:szCs w:val="24"/>
          <w:rtl/>
        </w:rPr>
        <w:t>ה</w:t>
      </w:r>
      <w:r w:rsidR="006D1B37">
        <w:rPr>
          <w:rFonts w:ascii="Times New Roman" w:eastAsia="Times New Roman" w:hAnsi="Times New Roman" w:cs="David" w:hint="cs"/>
          <w:sz w:val="24"/>
          <w:szCs w:val="24"/>
          <w:rtl/>
        </w:rPr>
        <w:t>שירותים</w:t>
      </w:r>
      <w:r w:rsidR="009466CF">
        <w:rPr>
          <w:rFonts w:ascii="Times New Roman" w:eastAsia="Times New Roman" w:hAnsi="Times New Roman" w:cs="David" w:hint="cs"/>
          <w:sz w:val="24"/>
          <w:szCs w:val="24"/>
          <w:rtl/>
        </w:rPr>
        <w:t xml:space="preserve"> הרלוונטיים</w:t>
      </w:r>
      <w:r w:rsidR="006D1B37">
        <w:rPr>
          <w:rFonts w:ascii="Times New Roman" w:eastAsia="Times New Roman" w:hAnsi="Times New Roman" w:cs="David" w:hint="cs"/>
          <w:sz w:val="24"/>
          <w:szCs w:val="24"/>
          <w:rtl/>
        </w:rPr>
        <w:t>.</w:t>
      </w:r>
      <w:r w:rsidR="009466CF">
        <w:rPr>
          <w:rFonts w:ascii="Times New Roman" w:eastAsia="Times New Roman" w:hAnsi="Times New Roman" w:cs="David" w:hint="cs"/>
          <w:sz w:val="24"/>
          <w:szCs w:val="24"/>
          <w:rtl/>
        </w:rPr>
        <w:t xml:space="preserve"> </w:t>
      </w:r>
    </w:p>
    <w:p w:rsidR="006D1B37" w:rsidRDefault="009466CF" w:rsidP="009A2495">
      <w:pPr>
        <w:pStyle w:val="a9"/>
        <w:numPr>
          <w:ilvl w:val="0"/>
          <w:numId w:val="1"/>
        </w:numPr>
        <w:spacing w:after="0"/>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בנוסף לאמור לעיל בסעיף 2, המשרד יפעל בתקופה הקרובה לפרסום מכרז פומבי, וככל שיפורסם מכרז פומבי, המשרד יתקשר עם הגוף הזוכה ויפסיק את ההתקשרות עם עמותת "נוער מוביל שינוי" (אחריי). </w:t>
      </w:r>
    </w:p>
    <w:p w:rsidR="006D1B37" w:rsidRPr="002B26C7" w:rsidRDefault="006D1B37" w:rsidP="009A2495">
      <w:pPr>
        <w:pStyle w:val="a9"/>
        <w:numPr>
          <w:ilvl w:val="0"/>
          <w:numId w:val="1"/>
        </w:num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היקף ההתקשרות הינו 1,150,000 ₪ ממקורות המשרד לפיתוח הנגב והגליל. עמותת "נוער מוביל שינוי" (אחריי) תקצה ממקורותיה 1,183,338 ₪. </w:t>
      </w:r>
    </w:p>
    <w:p w:rsidR="00991A74" w:rsidRDefault="00812CAD" w:rsidP="009A2495">
      <w:pPr>
        <w:spacing w:after="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לאור האמור לעיל, מתבקשת ועדת המכרזים לאשר את  הארכת</w:t>
      </w:r>
      <w:r w:rsidR="00235636">
        <w:rPr>
          <w:rFonts w:ascii="Times New Roman" w:eastAsia="Times New Roman" w:hAnsi="Times New Roman" w:cs="David" w:hint="cs"/>
          <w:sz w:val="24"/>
          <w:szCs w:val="24"/>
          <w:rtl/>
        </w:rPr>
        <w:t xml:space="preserve"> </w:t>
      </w:r>
      <w:r w:rsidR="00DD481F" w:rsidRPr="00DD481F">
        <w:rPr>
          <w:rFonts w:ascii="Times New Roman" w:eastAsia="Times New Roman" w:hAnsi="Times New Roman" w:cs="David" w:hint="cs"/>
          <w:sz w:val="24"/>
          <w:szCs w:val="24"/>
          <w:rtl/>
        </w:rPr>
        <w:t>ההתקשרות</w:t>
      </w:r>
      <w:r w:rsidR="00991A74">
        <w:rPr>
          <w:rFonts w:ascii="Times New Roman" w:eastAsia="Times New Roman" w:hAnsi="Times New Roman" w:cs="David" w:hint="cs"/>
          <w:sz w:val="24"/>
          <w:szCs w:val="24"/>
          <w:rtl/>
        </w:rPr>
        <w:t xml:space="preserve"> </w:t>
      </w:r>
      <w:r w:rsidR="00235636">
        <w:rPr>
          <w:rFonts w:ascii="Times New Roman" w:eastAsia="Times New Roman" w:hAnsi="Times New Roman" w:cs="David" w:hint="cs"/>
          <w:sz w:val="24"/>
          <w:szCs w:val="24"/>
          <w:rtl/>
        </w:rPr>
        <w:t>בשנה נוספת</w:t>
      </w:r>
      <w:r w:rsidR="00FB3F13">
        <w:rPr>
          <w:rFonts w:ascii="Times New Roman" w:eastAsia="Times New Roman" w:hAnsi="Times New Roman" w:cs="David" w:hint="cs"/>
          <w:sz w:val="24"/>
          <w:szCs w:val="24"/>
          <w:rtl/>
        </w:rPr>
        <w:t xml:space="preserve"> לפי תקנה </w:t>
      </w:r>
      <w:r w:rsidR="009466CF" w:rsidRPr="002B26C7">
        <w:rPr>
          <w:rFonts w:ascii="Times New Roman" w:eastAsia="Times New Roman" w:hAnsi="Times New Roman" w:cs="David" w:hint="cs"/>
          <w:sz w:val="24"/>
          <w:szCs w:val="24"/>
          <w:rtl/>
        </w:rPr>
        <w:t>3(4)(ב)(3)</w:t>
      </w:r>
      <w:r w:rsidR="00FB3F13">
        <w:rPr>
          <w:rFonts w:ascii="Times New Roman" w:eastAsia="Times New Roman" w:hAnsi="Times New Roman" w:cs="David" w:hint="cs"/>
          <w:sz w:val="24"/>
          <w:szCs w:val="24"/>
          <w:rtl/>
        </w:rPr>
        <w:t xml:space="preserve"> ל</w:t>
      </w:r>
      <w:r w:rsidR="00991A74">
        <w:rPr>
          <w:rFonts w:ascii="Times New Roman" w:eastAsia="Times New Roman" w:hAnsi="Times New Roman" w:cs="David" w:hint="cs"/>
          <w:sz w:val="24"/>
          <w:szCs w:val="24"/>
          <w:rtl/>
        </w:rPr>
        <w:t>תקנות,</w:t>
      </w:r>
      <w:r w:rsidR="00DD481F" w:rsidRPr="00DD481F">
        <w:rPr>
          <w:rFonts w:ascii="Times New Roman" w:eastAsia="Times New Roman" w:hAnsi="Times New Roman" w:cs="David" w:hint="cs"/>
          <w:sz w:val="24"/>
          <w:szCs w:val="24"/>
          <w:rtl/>
        </w:rPr>
        <w:t xml:space="preserve"> מיום </w:t>
      </w:r>
      <w:r>
        <w:rPr>
          <w:rFonts w:ascii="Times New Roman" w:eastAsia="Times New Roman" w:hAnsi="Times New Roman" w:cs="David" w:hint="cs"/>
          <w:sz w:val="24"/>
          <w:szCs w:val="24"/>
          <w:rtl/>
        </w:rPr>
        <w:t>16</w:t>
      </w:r>
      <w:r w:rsidR="00DD481F" w:rsidRPr="00DD481F">
        <w:rPr>
          <w:rFonts w:ascii="Times New Roman" w:eastAsia="Times New Roman" w:hAnsi="Times New Roman" w:cs="David" w:hint="cs"/>
          <w:sz w:val="24"/>
          <w:szCs w:val="24"/>
          <w:rtl/>
        </w:rPr>
        <w:t>/</w:t>
      </w:r>
      <w:r w:rsidR="00991A74">
        <w:rPr>
          <w:rFonts w:ascii="Times New Roman" w:eastAsia="Times New Roman" w:hAnsi="Times New Roman" w:cs="David" w:hint="cs"/>
          <w:sz w:val="24"/>
          <w:szCs w:val="24"/>
          <w:rtl/>
        </w:rPr>
        <w:t>4</w:t>
      </w:r>
      <w:r w:rsidR="00DD481F" w:rsidRPr="00DD481F">
        <w:rPr>
          <w:rFonts w:ascii="Times New Roman" w:eastAsia="Times New Roman" w:hAnsi="Times New Roman" w:cs="David" w:hint="cs"/>
          <w:sz w:val="24"/>
          <w:szCs w:val="24"/>
          <w:rtl/>
        </w:rPr>
        <w:t xml:space="preserve">/2014 ועד יום </w:t>
      </w:r>
      <w:r>
        <w:rPr>
          <w:rFonts w:ascii="Times New Roman" w:eastAsia="Times New Roman" w:hAnsi="Times New Roman" w:cs="David" w:hint="cs"/>
          <w:sz w:val="24"/>
          <w:szCs w:val="24"/>
          <w:rtl/>
        </w:rPr>
        <w:t>15</w:t>
      </w:r>
      <w:r w:rsidR="00DD481F" w:rsidRPr="00DD481F">
        <w:rPr>
          <w:rFonts w:ascii="Times New Roman" w:eastAsia="Times New Roman" w:hAnsi="Times New Roman" w:cs="David" w:hint="cs"/>
          <w:sz w:val="24"/>
          <w:szCs w:val="24"/>
          <w:rtl/>
        </w:rPr>
        <w:t>/</w:t>
      </w:r>
      <w:r w:rsidR="00991A74">
        <w:rPr>
          <w:rFonts w:ascii="Times New Roman" w:eastAsia="Times New Roman" w:hAnsi="Times New Roman" w:cs="David" w:hint="cs"/>
          <w:sz w:val="24"/>
          <w:szCs w:val="24"/>
          <w:rtl/>
        </w:rPr>
        <w:t>4</w:t>
      </w:r>
      <w:r w:rsidR="00DD481F" w:rsidRPr="00DD481F">
        <w:rPr>
          <w:rFonts w:ascii="Times New Roman" w:eastAsia="Times New Roman" w:hAnsi="Times New Roman" w:cs="David" w:hint="cs"/>
          <w:sz w:val="24"/>
          <w:szCs w:val="24"/>
          <w:rtl/>
        </w:rPr>
        <w:t>/2015</w:t>
      </w:r>
      <w:r w:rsidR="00991A74">
        <w:rPr>
          <w:rFonts w:ascii="Times New Roman" w:eastAsia="Times New Roman" w:hAnsi="Times New Roman" w:cs="David" w:hint="cs"/>
          <w:sz w:val="24"/>
          <w:szCs w:val="24"/>
          <w:rtl/>
        </w:rPr>
        <w:t xml:space="preserve">. </w:t>
      </w:r>
    </w:p>
    <w:p w:rsidR="00513CF7" w:rsidRPr="009466CF" w:rsidRDefault="00513CF7" w:rsidP="00DD481F">
      <w:pPr>
        <w:spacing w:after="0" w:line="360" w:lineRule="auto"/>
        <w:jc w:val="center"/>
        <w:rPr>
          <w:rFonts w:ascii="Times New Roman" w:eastAsia="Times New Roman" w:hAnsi="Times New Roman" w:cs="David"/>
          <w:b/>
          <w:bCs/>
          <w:sz w:val="8"/>
          <w:szCs w:val="8"/>
          <w:u w:val="single"/>
          <w:rtl/>
        </w:rPr>
      </w:pPr>
    </w:p>
    <w:p w:rsidR="00DD481F" w:rsidRPr="00DD481F" w:rsidRDefault="00DD481F" w:rsidP="00DD481F">
      <w:pPr>
        <w:spacing w:after="0" w:line="360" w:lineRule="auto"/>
        <w:jc w:val="center"/>
        <w:rPr>
          <w:rFonts w:ascii="Times New Roman" w:eastAsia="Times New Roman" w:hAnsi="Times New Roman" w:cs="David"/>
          <w:b/>
          <w:bCs/>
          <w:sz w:val="24"/>
          <w:szCs w:val="24"/>
          <w:u w:val="single"/>
          <w:rtl/>
        </w:rPr>
      </w:pPr>
      <w:r w:rsidRPr="00DD481F">
        <w:rPr>
          <w:rFonts w:ascii="Times New Roman" w:eastAsia="Times New Roman" w:hAnsi="Times New Roman" w:cs="David" w:hint="cs"/>
          <w:b/>
          <w:bCs/>
          <w:sz w:val="24"/>
          <w:szCs w:val="24"/>
          <w:u w:val="single"/>
          <w:rtl/>
        </w:rPr>
        <w:t>החלטה</w:t>
      </w:r>
    </w:p>
    <w:p w:rsidR="001E6774" w:rsidRDefault="001E6774" w:rsidP="009466CF">
      <w:pPr>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לאור החשיבות הרבה שיש למיזם בקרב יישובי המגזר ובני העדה האתיופית, הועדה מוצאת לנכון לאשר את המשך </w:t>
      </w:r>
      <w:r w:rsidRPr="002C5510">
        <w:rPr>
          <w:rFonts w:ascii="Times New Roman" w:eastAsia="Times New Roman" w:hAnsi="Times New Roman" w:cs="David" w:hint="cs"/>
          <w:b/>
          <w:bCs/>
          <w:sz w:val="24"/>
          <w:szCs w:val="24"/>
          <w:u w:val="single"/>
          <w:rtl/>
        </w:rPr>
        <w:t>ההתקשרות</w:t>
      </w:r>
      <w:r w:rsidR="00CD472A" w:rsidRPr="002C5510">
        <w:rPr>
          <w:rFonts w:ascii="Times New Roman" w:eastAsia="Times New Roman" w:hAnsi="Times New Roman" w:cs="David" w:hint="cs"/>
          <w:b/>
          <w:bCs/>
          <w:sz w:val="24"/>
          <w:szCs w:val="24"/>
          <w:u w:val="single"/>
          <w:rtl/>
        </w:rPr>
        <w:t xml:space="preserve"> לשנה</w:t>
      </w:r>
      <w:r>
        <w:rPr>
          <w:rFonts w:ascii="Times New Roman" w:eastAsia="Times New Roman" w:hAnsi="Times New Roman" w:cs="David" w:hint="cs"/>
          <w:sz w:val="24"/>
          <w:szCs w:val="24"/>
          <w:rtl/>
        </w:rPr>
        <w:t>. מטעמים של חסכון ויעילות, תאושר ההתקשרות כהתקשרות המשך</w:t>
      </w:r>
      <w:r w:rsidR="00E342FF">
        <w:rPr>
          <w:rFonts w:ascii="Times New Roman" w:eastAsia="Times New Roman" w:hAnsi="Times New Roman" w:cs="David" w:hint="cs"/>
          <w:sz w:val="24"/>
          <w:szCs w:val="24"/>
          <w:rtl/>
        </w:rPr>
        <w:t xml:space="preserve"> לאור חשיבותו והצלחתו של המיזם ומן הטעם שבהפעלת המיזם נרקמו </w:t>
      </w:r>
      <w:r>
        <w:rPr>
          <w:rFonts w:ascii="Times New Roman" w:eastAsia="Times New Roman" w:hAnsi="Times New Roman" w:cs="David" w:hint="cs"/>
          <w:sz w:val="24"/>
          <w:szCs w:val="24"/>
          <w:rtl/>
        </w:rPr>
        <w:t xml:space="preserve">יחסי אמון מיוחדים </w:t>
      </w:r>
      <w:r w:rsidR="00E342FF">
        <w:rPr>
          <w:rFonts w:ascii="Times New Roman" w:eastAsia="Times New Roman" w:hAnsi="Times New Roman" w:cs="David" w:hint="cs"/>
          <w:sz w:val="24"/>
          <w:szCs w:val="24"/>
          <w:rtl/>
        </w:rPr>
        <w:t xml:space="preserve">בין </w:t>
      </w:r>
      <w:r>
        <w:rPr>
          <w:rFonts w:ascii="Times New Roman" w:eastAsia="Times New Roman" w:hAnsi="Times New Roman" w:cs="David" w:hint="cs"/>
          <w:sz w:val="24"/>
          <w:szCs w:val="24"/>
          <w:rtl/>
        </w:rPr>
        <w:t xml:space="preserve">בני המגזר </w:t>
      </w:r>
      <w:r w:rsidR="00E342FF">
        <w:rPr>
          <w:rFonts w:ascii="Times New Roman" w:eastAsia="Times New Roman" w:hAnsi="Times New Roman" w:cs="David" w:hint="cs"/>
          <w:sz w:val="24"/>
          <w:szCs w:val="24"/>
          <w:rtl/>
        </w:rPr>
        <w:t xml:space="preserve">הדרוזי, הבדואי ובני העדה האתיופית, לבין המשרד והעמותה המפעילים את המיזם. </w:t>
      </w:r>
      <w:r>
        <w:rPr>
          <w:rFonts w:ascii="Times New Roman" w:eastAsia="Times New Roman" w:hAnsi="Times New Roman" w:cs="David" w:hint="cs"/>
          <w:sz w:val="24"/>
          <w:szCs w:val="24"/>
          <w:rtl/>
        </w:rPr>
        <w:t xml:space="preserve">  </w:t>
      </w:r>
    </w:p>
    <w:p w:rsidR="00FB3F13" w:rsidRPr="009466CF" w:rsidRDefault="00CD472A" w:rsidP="009466CF">
      <w:pPr>
        <w:spacing w:after="0" w:line="360" w:lineRule="auto"/>
        <w:jc w:val="both"/>
        <w:rPr>
          <w:rFonts w:ascii="Times New Roman" w:eastAsia="Times New Roman" w:hAnsi="Times New Roman" w:cs="David"/>
          <w:b/>
          <w:bCs/>
          <w:sz w:val="24"/>
          <w:szCs w:val="24"/>
          <w:rtl/>
        </w:rPr>
      </w:pPr>
      <w:r w:rsidRPr="009466CF">
        <w:rPr>
          <w:rFonts w:ascii="Times New Roman" w:eastAsia="Times New Roman" w:hAnsi="Times New Roman" w:cs="David" w:hint="cs"/>
          <w:b/>
          <w:bCs/>
          <w:sz w:val="24"/>
          <w:szCs w:val="24"/>
          <w:rtl/>
        </w:rPr>
        <w:t>לפיכך</w:t>
      </w:r>
      <w:r w:rsidR="00812CAD" w:rsidRPr="009466CF">
        <w:rPr>
          <w:rFonts w:ascii="Times New Roman" w:eastAsia="Times New Roman" w:hAnsi="Times New Roman" w:cs="David" w:hint="cs"/>
          <w:b/>
          <w:bCs/>
          <w:sz w:val="24"/>
          <w:szCs w:val="24"/>
          <w:rtl/>
        </w:rPr>
        <w:t>, וועדת המכרזים מאשרת את הארכת ההתקשרות בשנה</w:t>
      </w:r>
      <w:r w:rsidRPr="009466CF">
        <w:rPr>
          <w:rFonts w:ascii="Times New Roman" w:eastAsia="Times New Roman" w:hAnsi="Times New Roman" w:cs="David" w:hint="cs"/>
          <w:b/>
          <w:bCs/>
          <w:sz w:val="24"/>
          <w:szCs w:val="24"/>
          <w:rtl/>
        </w:rPr>
        <w:t>.</w:t>
      </w:r>
      <w:r w:rsidR="009466CF" w:rsidRPr="009466CF">
        <w:rPr>
          <w:rFonts w:ascii="Times New Roman" w:eastAsia="Times New Roman" w:hAnsi="Times New Roman" w:cs="David" w:hint="cs"/>
          <w:b/>
          <w:bCs/>
          <w:sz w:val="24"/>
          <w:szCs w:val="24"/>
          <w:rtl/>
        </w:rPr>
        <w:t xml:space="preserve"> המשרד </w:t>
      </w:r>
      <w:r w:rsidR="009466CF">
        <w:rPr>
          <w:rFonts w:ascii="Times New Roman" w:eastAsia="Times New Roman" w:hAnsi="Times New Roman" w:cs="David" w:hint="cs"/>
          <w:b/>
          <w:bCs/>
          <w:sz w:val="24"/>
          <w:szCs w:val="24"/>
          <w:rtl/>
        </w:rPr>
        <w:t xml:space="preserve">יפעל בתקופה הקרובה לפרסום מכרז פומבי בתחום רלוונטי זה, ויתקשר עם הגוף הזוכה במכרז. </w:t>
      </w:r>
      <w:r w:rsidR="009466CF" w:rsidRPr="009466CF">
        <w:rPr>
          <w:rFonts w:ascii="Times New Roman" w:eastAsia="Times New Roman" w:hAnsi="Times New Roman" w:cs="David" w:hint="cs"/>
          <w:b/>
          <w:bCs/>
          <w:sz w:val="24"/>
          <w:szCs w:val="24"/>
          <w:rtl/>
        </w:rPr>
        <w:t xml:space="preserve"> </w:t>
      </w:r>
      <w:r w:rsidRPr="009466CF">
        <w:rPr>
          <w:rFonts w:ascii="Times New Roman" w:eastAsia="Times New Roman" w:hAnsi="Times New Roman" w:cs="David" w:hint="cs"/>
          <w:b/>
          <w:bCs/>
          <w:sz w:val="24"/>
          <w:szCs w:val="24"/>
          <w:rtl/>
        </w:rPr>
        <w:t xml:space="preserve"> </w:t>
      </w:r>
    </w:p>
    <w:p w:rsidR="00DD481F" w:rsidRPr="002C5510" w:rsidRDefault="006913CD" w:rsidP="001E6774">
      <w:pPr>
        <w:spacing w:after="0" w:line="360" w:lineRule="auto"/>
        <w:jc w:val="both"/>
        <w:rPr>
          <w:rFonts w:ascii="Times New Roman" w:eastAsia="Times New Roman" w:hAnsi="Times New Roman" w:cs="David"/>
          <w:b/>
          <w:bCs/>
          <w:sz w:val="24"/>
          <w:szCs w:val="24"/>
        </w:rPr>
      </w:pPr>
      <w:r w:rsidRPr="002C5510">
        <w:rPr>
          <w:rFonts w:ascii="Times New Roman" w:eastAsia="Times New Roman" w:hAnsi="Times New Roman" w:cs="David" w:hint="cs"/>
          <w:b/>
          <w:bCs/>
          <w:sz w:val="24"/>
          <w:szCs w:val="24"/>
          <w:rtl/>
        </w:rPr>
        <w:t xml:space="preserve">התקשרות זו טעונה אישור של ועדת הפטור </w:t>
      </w:r>
      <w:r w:rsidR="0079665B" w:rsidRPr="002C5510">
        <w:rPr>
          <w:rFonts w:ascii="Times New Roman" w:eastAsia="Times New Roman" w:hAnsi="Times New Roman" w:cs="David" w:hint="cs"/>
          <w:b/>
          <w:bCs/>
          <w:sz w:val="24"/>
          <w:szCs w:val="24"/>
          <w:rtl/>
        </w:rPr>
        <w:t>של החשב הכללי</w:t>
      </w:r>
      <w:r w:rsidRPr="002C5510">
        <w:rPr>
          <w:rFonts w:ascii="Times New Roman" w:eastAsia="Times New Roman" w:hAnsi="Times New Roman" w:cs="David" w:hint="cs"/>
          <w:b/>
          <w:bCs/>
          <w:sz w:val="24"/>
          <w:szCs w:val="24"/>
          <w:rtl/>
        </w:rPr>
        <w:t xml:space="preserve"> בהתאם לתקנה </w:t>
      </w:r>
      <w:r w:rsidR="0079665B" w:rsidRPr="002C5510">
        <w:rPr>
          <w:rFonts w:ascii="Times New Roman" w:eastAsia="Times New Roman" w:hAnsi="Times New Roman" w:cs="David" w:hint="cs"/>
          <w:b/>
          <w:bCs/>
          <w:sz w:val="24"/>
          <w:szCs w:val="24"/>
          <w:rtl/>
        </w:rPr>
        <w:t>3(4)(ב)(3)</w:t>
      </w:r>
      <w:r w:rsidRPr="002C5510">
        <w:rPr>
          <w:rFonts w:ascii="Times New Roman" w:eastAsia="Times New Roman" w:hAnsi="Times New Roman" w:cs="David" w:hint="cs"/>
          <w:b/>
          <w:bCs/>
          <w:sz w:val="24"/>
          <w:szCs w:val="24"/>
          <w:rtl/>
        </w:rPr>
        <w:t xml:space="preserve"> לתקנות חובת המכרזים. </w:t>
      </w:r>
    </w:p>
    <w:p w:rsidR="00CD472A" w:rsidRPr="00DD481F" w:rsidRDefault="00CD472A" w:rsidP="00CD472A">
      <w:pPr>
        <w:spacing w:after="0" w:line="360" w:lineRule="auto"/>
        <w:jc w:val="both"/>
        <w:rPr>
          <w:rFonts w:ascii="Times New Roman" w:eastAsia="Times New Roman" w:hAnsi="Times New Roman" w:cs="David"/>
          <w:sz w:val="24"/>
          <w:szCs w:val="24"/>
          <w:rtl/>
        </w:rPr>
      </w:pPr>
      <w:r w:rsidRPr="00DD481F">
        <w:rPr>
          <w:rFonts w:ascii="Times New Roman" w:eastAsia="Times New Roman" w:hAnsi="Times New Roman" w:cs="David" w:hint="cs"/>
          <w:b/>
          <w:bCs/>
          <w:sz w:val="24"/>
          <w:szCs w:val="24"/>
          <w:u w:val="single"/>
          <w:rtl/>
        </w:rPr>
        <w:t>היקף ההתקשרות</w:t>
      </w:r>
      <w:r w:rsidRPr="00DD481F">
        <w:rPr>
          <w:rFonts w:ascii="Times New Roman" w:eastAsia="Times New Roman" w:hAnsi="Times New Roman" w:cs="David" w:hint="cs"/>
          <w:sz w:val="24"/>
          <w:szCs w:val="24"/>
          <w:rtl/>
        </w:rPr>
        <w:t>: 1,</w:t>
      </w:r>
      <w:r>
        <w:rPr>
          <w:rFonts w:ascii="Times New Roman" w:eastAsia="Times New Roman" w:hAnsi="Times New Roman" w:cs="David" w:hint="cs"/>
          <w:sz w:val="24"/>
          <w:szCs w:val="24"/>
          <w:rtl/>
        </w:rPr>
        <w:t>150</w:t>
      </w:r>
      <w:r w:rsidRPr="00DD481F">
        <w:rPr>
          <w:rFonts w:ascii="Times New Roman" w:eastAsia="Times New Roman" w:hAnsi="Times New Roman" w:cs="David" w:hint="cs"/>
          <w:sz w:val="24"/>
          <w:szCs w:val="24"/>
          <w:rtl/>
        </w:rPr>
        <w:t xml:space="preserve">,000 ₪. </w:t>
      </w:r>
    </w:p>
    <w:p w:rsidR="00CD472A" w:rsidRPr="00DD481F" w:rsidRDefault="00AB6FC5" w:rsidP="009466CF">
      <w:pPr>
        <w:spacing w:after="0" w:line="360" w:lineRule="auto"/>
        <w:jc w:val="both"/>
        <w:rPr>
          <w:rFonts w:ascii="Times New Roman" w:eastAsia="Times New Roman" w:hAnsi="Times New Roman" w:cs="David"/>
          <w:sz w:val="24"/>
          <w:szCs w:val="24"/>
          <w:rtl/>
        </w:rPr>
      </w:pPr>
      <w:r>
        <w:rPr>
          <w:noProof/>
          <w:sz w:val="26"/>
          <w:szCs w:val="26"/>
          <w:rtl/>
        </w:rPr>
        <w:drawing>
          <wp:anchor distT="0" distB="0" distL="114300" distR="114300" simplePos="0" relativeHeight="251661312" behindDoc="1" locked="0" layoutInCell="1" allowOverlap="1" wp14:anchorId="33487F86" wp14:editId="7F50FBF0">
            <wp:simplePos x="0" y="0"/>
            <wp:positionH relativeFrom="column">
              <wp:posOffset>48260</wp:posOffset>
            </wp:positionH>
            <wp:positionV relativeFrom="paragraph">
              <wp:posOffset>208915</wp:posOffset>
            </wp:positionV>
            <wp:extent cx="1177290" cy="497205"/>
            <wp:effectExtent l="0" t="0" r="3810" b="0"/>
            <wp:wrapTight wrapText="bothSides">
              <wp:wrapPolygon edited="0">
                <wp:start x="0" y="0"/>
                <wp:lineTo x="0" y="20690"/>
                <wp:lineTo x="21320" y="20690"/>
                <wp:lineTo x="21320" y="0"/>
                <wp:lineTo x="0" y="0"/>
              </wp:wrapPolygon>
            </wp:wrapTight>
            <wp:docPr id="1" name="תמונה 1" descr="ללא_שם.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לא_שם.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77290" cy="497205"/>
                    </a:xfrm>
                    <a:prstGeom prst="rect">
                      <a:avLst/>
                    </a:prstGeom>
                  </pic:spPr>
                </pic:pic>
              </a:graphicData>
            </a:graphic>
            <wp14:sizeRelH relativeFrom="page">
              <wp14:pctWidth>0</wp14:pctWidth>
            </wp14:sizeRelH>
            <wp14:sizeRelV relativeFrom="page">
              <wp14:pctHeight>0</wp14:pctHeight>
            </wp14:sizeRelV>
          </wp:anchor>
        </w:drawing>
      </w:r>
      <w:r>
        <w:rPr>
          <w:noProof/>
          <w:sz w:val="26"/>
          <w:szCs w:val="26"/>
          <w:rtl/>
        </w:rPr>
        <w:drawing>
          <wp:anchor distT="0" distB="0" distL="114300" distR="114300" simplePos="0" relativeHeight="251659264" behindDoc="1" locked="0" layoutInCell="1" allowOverlap="1" wp14:anchorId="60DE123C" wp14:editId="426E5EF0">
            <wp:simplePos x="0" y="0"/>
            <wp:positionH relativeFrom="column">
              <wp:posOffset>3869690</wp:posOffset>
            </wp:positionH>
            <wp:positionV relativeFrom="paragraph">
              <wp:posOffset>165735</wp:posOffset>
            </wp:positionV>
            <wp:extent cx="1209675" cy="933450"/>
            <wp:effectExtent l="0" t="0" r="9525" b="0"/>
            <wp:wrapNone/>
            <wp:docPr id="3" name="תמונה 3" descr="C:\Users\maayand\Desktop\חתימה סרוקה סיגל.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ayand\Desktop\חתימה סרוקה סיגל.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09675" cy="933450"/>
                    </a:xfrm>
                    <a:prstGeom prst="rect">
                      <a:avLst/>
                    </a:prstGeom>
                    <a:noFill/>
                    <a:ln>
                      <a:noFill/>
                    </a:ln>
                  </pic:spPr>
                </pic:pic>
              </a:graphicData>
            </a:graphic>
            <wp14:sizeRelH relativeFrom="page">
              <wp14:pctWidth>0</wp14:pctWidth>
            </wp14:sizeRelH>
            <wp14:sizeRelV relativeFrom="page">
              <wp14:pctHeight>0</wp14:pctHeight>
            </wp14:sizeRelV>
          </wp:anchor>
        </w:drawing>
      </w:r>
      <w:r w:rsidR="00CD472A" w:rsidRPr="00DD481F">
        <w:rPr>
          <w:rFonts w:ascii="Times New Roman" w:eastAsia="Times New Roman" w:hAnsi="Times New Roman" w:cs="David" w:hint="cs"/>
          <w:b/>
          <w:bCs/>
          <w:sz w:val="24"/>
          <w:szCs w:val="24"/>
          <w:u w:val="single"/>
          <w:rtl/>
        </w:rPr>
        <w:t>משך ההתקשרות</w:t>
      </w:r>
      <w:r w:rsidR="00CD472A" w:rsidRPr="00DD481F">
        <w:rPr>
          <w:rFonts w:ascii="Times New Roman" w:eastAsia="Times New Roman" w:hAnsi="Times New Roman" w:cs="David" w:hint="cs"/>
          <w:sz w:val="24"/>
          <w:szCs w:val="24"/>
          <w:rtl/>
        </w:rPr>
        <w:t xml:space="preserve">: מיום </w:t>
      </w:r>
      <w:r w:rsidR="00CD472A">
        <w:rPr>
          <w:rFonts w:ascii="Times New Roman" w:eastAsia="Times New Roman" w:hAnsi="Times New Roman" w:cs="David" w:hint="cs"/>
          <w:sz w:val="24"/>
          <w:szCs w:val="24"/>
          <w:rtl/>
        </w:rPr>
        <w:t>16</w:t>
      </w:r>
      <w:r w:rsidR="00CD472A" w:rsidRPr="00DD481F">
        <w:rPr>
          <w:rFonts w:ascii="Times New Roman" w:eastAsia="Times New Roman" w:hAnsi="Times New Roman" w:cs="David" w:hint="cs"/>
          <w:sz w:val="24"/>
          <w:szCs w:val="24"/>
          <w:rtl/>
        </w:rPr>
        <w:t>/</w:t>
      </w:r>
      <w:r w:rsidR="00CD472A">
        <w:rPr>
          <w:rFonts w:ascii="Times New Roman" w:eastAsia="Times New Roman" w:hAnsi="Times New Roman" w:cs="David" w:hint="cs"/>
          <w:sz w:val="24"/>
          <w:szCs w:val="24"/>
          <w:rtl/>
        </w:rPr>
        <w:t>4</w:t>
      </w:r>
      <w:r w:rsidR="00CD472A" w:rsidRPr="00DD481F">
        <w:rPr>
          <w:rFonts w:ascii="Times New Roman" w:eastAsia="Times New Roman" w:hAnsi="Times New Roman" w:cs="David" w:hint="cs"/>
          <w:sz w:val="24"/>
          <w:szCs w:val="24"/>
          <w:rtl/>
        </w:rPr>
        <w:t xml:space="preserve">/2014 ועד יום </w:t>
      </w:r>
      <w:r w:rsidR="00CD472A">
        <w:rPr>
          <w:rFonts w:ascii="Times New Roman" w:eastAsia="Times New Roman" w:hAnsi="Times New Roman" w:cs="David" w:hint="cs"/>
          <w:sz w:val="24"/>
          <w:szCs w:val="24"/>
          <w:rtl/>
        </w:rPr>
        <w:t>15</w:t>
      </w:r>
      <w:r w:rsidR="00CD472A" w:rsidRPr="00DD481F">
        <w:rPr>
          <w:rFonts w:ascii="Times New Roman" w:eastAsia="Times New Roman" w:hAnsi="Times New Roman" w:cs="David" w:hint="cs"/>
          <w:sz w:val="24"/>
          <w:szCs w:val="24"/>
          <w:rtl/>
        </w:rPr>
        <w:t>/</w:t>
      </w:r>
      <w:r w:rsidR="00CD472A">
        <w:rPr>
          <w:rFonts w:ascii="Times New Roman" w:eastAsia="Times New Roman" w:hAnsi="Times New Roman" w:cs="David" w:hint="cs"/>
          <w:sz w:val="24"/>
          <w:szCs w:val="24"/>
          <w:rtl/>
        </w:rPr>
        <w:t>4</w:t>
      </w:r>
      <w:r w:rsidR="00CD472A" w:rsidRPr="00DD481F">
        <w:rPr>
          <w:rFonts w:ascii="Times New Roman" w:eastAsia="Times New Roman" w:hAnsi="Times New Roman" w:cs="David" w:hint="cs"/>
          <w:sz w:val="24"/>
          <w:szCs w:val="24"/>
          <w:rtl/>
        </w:rPr>
        <w:t>/2015.</w:t>
      </w:r>
    </w:p>
    <w:p w:rsidR="00DD481F" w:rsidRPr="00DD481F" w:rsidRDefault="00DD481F" w:rsidP="00DD481F">
      <w:pPr>
        <w:spacing w:after="0" w:line="360" w:lineRule="auto"/>
        <w:jc w:val="both"/>
        <w:rPr>
          <w:rFonts w:ascii="Times New Roman" w:eastAsia="Times New Roman" w:hAnsi="Times New Roman" w:cs="David"/>
          <w:sz w:val="24"/>
          <w:szCs w:val="24"/>
          <w:rtl/>
        </w:rPr>
      </w:pPr>
    </w:p>
    <w:p w:rsidR="00DD481F" w:rsidRPr="00DD481F" w:rsidRDefault="007C73F1" w:rsidP="00DD481F">
      <w:pPr>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hint="cs"/>
          <w:sz w:val="24"/>
          <w:szCs w:val="24"/>
          <w:rtl/>
        </w:rPr>
        <w:tab/>
      </w:r>
      <w:r>
        <w:rPr>
          <w:rFonts w:ascii="Times New Roman" w:eastAsia="Times New Roman" w:hAnsi="Times New Roman" w:cs="David"/>
          <w:noProof/>
          <w:sz w:val="24"/>
          <w:szCs w:val="24"/>
          <w:rtl/>
        </w:rPr>
        <w:drawing>
          <wp:inline distT="0" distB="0" distL="0" distR="0">
            <wp:extent cx="800871" cy="336499"/>
            <wp:effectExtent l="0" t="0" r="0" b="6985"/>
            <wp:docPr id="4" name="תמונה 4" descr="C:\Users\arielk\Desktop\אריאל חתימה.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ielk\Desktop\אריאל חתימה.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5121" cy="338285"/>
                    </a:xfrm>
                    <a:prstGeom prst="rect">
                      <a:avLst/>
                    </a:prstGeom>
                    <a:noFill/>
                    <a:ln>
                      <a:noFill/>
                    </a:ln>
                  </pic:spPr>
                </pic:pic>
              </a:graphicData>
            </a:graphic>
          </wp:inline>
        </w:drawing>
      </w:r>
    </w:p>
    <w:p w:rsidR="00DD481F" w:rsidRPr="00DD481F" w:rsidRDefault="00DD481F" w:rsidP="001F5227">
      <w:pPr>
        <w:spacing w:after="0" w:line="360" w:lineRule="auto"/>
        <w:rPr>
          <w:rFonts w:ascii="Times New Roman" w:eastAsia="Times New Roman" w:hAnsi="Times New Roman" w:cs="David"/>
          <w:sz w:val="24"/>
          <w:szCs w:val="24"/>
          <w:rtl/>
        </w:rPr>
      </w:pPr>
      <w:r w:rsidRPr="00DD481F">
        <w:rPr>
          <w:rFonts w:ascii="Times New Roman" w:eastAsia="Times New Roman" w:hAnsi="Times New Roman" w:cs="David"/>
          <w:sz w:val="24"/>
          <w:szCs w:val="24"/>
          <w:rtl/>
        </w:rPr>
        <w:t>_____________</w:t>
      </w:r>
      <w:r w:rsidR="001F5227">
        <w:rPr>
          <w:rFonts w:ascii="Times New Roman" w:eastAsia="Times New Roman" w:hAnsi="Times New Roman" w:cs="David" w:hint="cs"/>
          <w:sz w:val="24"/>
          <w:szCs w:val="24"/>
          <w:rtl/>
        </w:rPr>
        <w:t>__</w:t>
      </w:r>
      <w:r w:rsidRPr="00DD481F">
        <w:rPr>
          <w:rFonts w:ascii="Times New Roman" w:eastAsia="Times New Roman" w:hAnsi="Times New Roman" w:cs="David"/>
          <w:sz w:val="24"/>
          <w:szCs w:val="24"/>
          <w:rtl/>
        </w:rPr>
        <w:t xml:space="preserve">________         </w:t>
      </w:r>
      <w:r w:rsidR="001F5227">
        <w:rPr>
          <w:rFonts w:ascii="Times New Roman" w:eastAsia="Times New Roman" w:hAnsi="Times New Roman" w:cs="David" w:hint="cs"/>
          <w:sz w:val="24"/>
          <w:szCs w:val="24"/>
          <w:rtl/>
        </w:rPr>
        <w:t xml:space="preserve">       </w:t>
      </w:r>
      <w:r w:rsidRPr="00DD481F">
        <w:rPr>
          <w:rFonts w:ascii="Times New Roman" w:eastAsia="Times New Roman" w:hAnsi="Times New Roman" w:cs="David"/>
          <w:sz w:val="24"/>
          <w:szCs w:val="24"/>
          <w:rtl/>
        </w:rPr>
        <w:t>_</w:t>
      </w:r>
      <w:r w:rsidR="001E6774">
        <w:rPr>
          <w:rFonts w:ascii="Times New Roman" w:eastAsia="Times New Roman" w:hAnsi="Times New Roman" w:cs="David" w:hint="cs"/>
          <w:sz w:val="24"/>
          <w:szCs w:val="24"/>
          <w:rtl/>
        </w:rPr>
        <w:t>___</w:t>
      </w:r>
      <w:r w:rsidRPr="00DD481F">
        <w:rPr>
          <w:rFonts w:ascii="Times New Roman" w:eastAsia="Times New Roman" w:hAnsi="Times New Roman" w:cs="David"/>
          <w:sz w:val="24"/>
          <w:szCs w:val="24"/>
          <w:rtl/>
        </w:rPr>
        <w:t>____________</w:t>
      </w:r>
      <w:r w:rsidRPr="00DD481F">
        <w:rPr>
          <w:rFonts w:ascii="Times New Roman" w:eastAsia="Times New Roman" w:hAnsi="Times New Roman" w:cs="David"/>
          <w:sz w:val="24"/>
          <w:szCs w:val="24"/>
          <w:rtl/>
        </w:rPr>
        <w:tab/>
        <w:t xml:space="preserve">  </w:t>
      </w:r>
      <w:r w:rsidR="001F5227">
        <w:rPr>
          <w:rFonts w:ascii="Times New Roman" w:eastAsia="Times New Roman" w:hAnsi="Times New Roman" w:cs="David" w:hint="cs"/>
          <w:sz w:val="24"/>
          <w:szCs w:val="24"/>
          <w:rtl/>
        </w:rPr>
        <w:t xml:space="preserve">    </w:t>
      </w:r>
      <w:r w:rsidRPr="00DD481F">
        <w:rPr>
          <w:rFonts w:ascii="Times New Roman" w:eastAsia="Times New Roman" w:hAnsi="Times New Roman" w:cs="David"/>
          <w:sz w:val="24"/>
          <w:szCs w:val="24"/>
          <w:rtl/>
        </w:rPr>
        <w:t xml:space="preserve"> </w:t>
      </w:r>
      <w:r w:rsidR="001F5227">
        <w:rPr>
          <w:rFonts w:ascii="Times New Roman" w:eastAsia="Times New Roman" w:hAnsi="Times New Roman" w:cs="David"/>
          <w:sz w:val="24"/>
          <w:szCs w:val="24"/>
          <w:rtl/>
        </w:rPr>
        <w:t xml:space="preserve">     </w:t>
      </w:r>
      <w:r w:rsidR="001F5227">
        <w:rPr>
          <w:rFonts w:ascii="Times New Roman" w:eastAsia="Times New Roman" w:hAnsi="Times New Roman" w:cs="David" w:hint="cs"/>
          <w:sz w:val="24"/>
          <w:szCs w:val="24"/>
          <w:rtl/>
        </w:rPr>
        <w:t>____</w:t>
      </w:r>
      <w:r w:rsidRPr="00DD481F">
        <w:rPr>
          <w:rFonts w:ascii="Times New Roman" w:eastAsia="Times New Roman" w:hAnsi="Times New Roman" w:cs="David"/>
          <w:sz w:val="24"/>
          <w:szCs w:val="24"/>
          <w:rtl/>
        </w:rPr>
        <w:t xml:space="preserve">___________     </w:t>
      </w:r>
    </w:p>
    <w:p w:rsidR="00DD481F" w:rsidRPr="00DD481F" w:rsidRDefault="00246F3B" w:rsidP="00246F3B">
      <w:pPr>
        <w:spacing w:after="0"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DD481F" w:rsidRPr="00DD481F">
        <w:rPr>
          <w:rFonts w:ascii="Times New Roman" w:eastAsia="Times New Roman" w:hAnsi="Times New Roman" w:cs="David"/>
          <w:sz w:val="24"/>
          <w:szCs w:val="24"/>
          <w:rtl/>
        </w:rPr>
        <w:t>סיגל שאלתיאל הלוי</w:t>
      </w:r>
      <w:r w:rsidR="001F5227">
        <w:rPr>
          <w:rFonts w:ascii="Times New Roman" w:eastAsia="Times New Roman" w:hAnsi="Times New Roman" w:cs="David" w:hint="cs"/>
          <w:sz w:val="24"/>
          <w:szCs w:val="24"/>
          <w:rtl/>
        </w:rPr>
        <w:t xml:space="preserve">, </w:t>
      </w:r>
      <w:r w:rsidR="00DD481F" w:rsidRPr="00DD481F">
        <w:rPr>
          <w:rFonts w:ascii="Times New Roman" w:eastAsia="Times New Roman" w:hAnsi="Times New Roman" w:cs="David"/>
          <w:sz w:val="24"/>
          <w:szCs w:val="24"/>
          <w:rtl/>
        </w:rPr>
        <w:t xml:space="preserve">מנכ"לית </w:t>
      </w:r>
      <w:r w:rsidR="00DD481F" w:rsidRPr="00DD481F">
        <w:rPr>
          <w:rFonts w:ascii="Times New Roman" w:eastAsia="Times New Roman" w:hAnsi="Times New Roman" w:cs="David"/>
          <w:sz w:val="24"/>
          <w:szCs w:val="24"/>
          <w:rtl/>
        </w:rPr>
        <w:tab/>
        <w:t xml:space="preserve">          </w:t>
      </w:r>
      <w:r w:rsidR="007C73F1">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 </w:t>
      </w:r>
      <w:r w:rsidR="007C73F1">
        <w:rPr>
          <w:rFonts w:ascii="Times New Roman" w:eastAsia="Times New Roman" w:hAnsi="Times New Roman" w:cs="David" w:hint="cs"/>
          <w:sz w:val="24"/>
          <w:szCs w:val="24"/>
          <w:rtl/>
        </w:rPr>
        <w:t>אריאל כהאן, יועמ"ש</w:t>
      </w:r>
      <w:r>
        <w:rPr>
          <w:rFonts w:ascii="Times New Roman" w:eastAsia="Times New Roman" w:hAnsi="Times New Roman" w:cs="David" w:hint="cs"/>
          <w:sz w:val="24"/>
          <w:szCs w:val="24"/>
          <w:rtl/>
        </w:rPr>
        <w:t xml:space="preserve"> </w:t>
      </w:r>
      <w:r w:rsidR="00DD481F" w:rsidRPr="00DD481F">
        <w:rPr>
          <w:rFonts w:ascii="Times New Roman" w:eastAsia="Times New Roman" w:hAnsi="Times New Roman" w:cs="David"/>
          <w:sz w:val="24"/>
          <w:szCs w:val="24"/>
          <w:rtl/>
        </w:rPr>
        <w:t xml:space="preserve">          </w:t>
      </w:r>
      <w:r w:rsidR="001F5227">
        <w:rPr>
          <w:rFonts w:ascii="Times New Roman" w:eastAsia="Times New Roman" w:hAnsi="Times New Roman" w:cs="David" w:hint="cs"/>
          <w:sz w:val="24"/>
          <w:szCs w:val="24"/>
          <w:rtl/>
        </w:rPr>
        <w:t xml:space="preserve">      </w:t>
      </w:r>
      <w:r w:rsidR="00DD481F" w:rsidRPr="00DD481F">
        <w:rPr>
          <w:rFonts w:ascii="Times New Roman" w:eastAsia="Times New Roman" w:hAnsi="Times New Roman" w:cs="David"/>
          <w:sz w:val="24"/>
          <w:szCs w:val="24"/>
          <w:rtl/>
        </w:rPr>
        <w:t>עמנואל מודריק</w:t>
      </w:r>
      <w:r w:rsidR="001F5227">
        <w:rPr>
          <w:rFonts w:ascii="Times New Roman" w:eastAsia="Times New Roman" w:hAnsi="Times New Roman" w:cs="David" w:hint="cs"/>
          <w:sz w:val="24"/>
          <w:szCs w:val="24"/>
          <w:rtl/>
        </w:rPr>
        <w:t>, חשב</w:t>
      </w:r>
    </w:p>
    <w:p w:rsidR="001F669B" w:rsidRDefault="00DD481F" w:rsidP="00513CF7">
      <w:pPr>
        <w:spacing w:after="0" w:line="360" w:lineRule="auto"/>
        <w:jc w:val="both"/>
      </w:pPr>
      <w:r w:rsidRPr="00DD481F">
        <w:rPr>
          <w:rFonts w:ascii="Times New Roman" w:eastAsia="Times New Roman" w:hAnsi="Times New Roman" w:cs="David" w:hint="cs"/>
          <w:sz w:val="24"/>
          <w:szCs w:val="24"/>
          <w:rtl/>
        </w:rPr>
        <w:t xml:space="preserve">תקנה תקציבית: </w:t>
      </w:r>
      <w:r w:rsidR="00812CAD">
        <w:rPr>
          <w:rFonts w:ascii="Times New Roman" w:eastAsia="Times New Roman" w:hAnsi="Times New Roman" w:cs="David" w:hint="cs"/>
          <w:sz w:val="24"/>
          <w:szCs w:val="24"/>
          <w:rtl/>
        </w:rPr>
        <w:t>04630303</w:t>
      </w:r>
    </w:p>
    <w:sectPr w:rsidR="001F669B" w:rsidSect="0002287A">
      <w:head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5ECB" w:rsidRDefault="00B15ECB" w:rsidP="00DD481F">
      <w:pPr>
        <w:spacing w:after="0" w:line="240" w:lineRule="auto"/>
      </w:pPr>
      <w:r>
        <w:separator/>
      </w:r>
    </w:p>
  </w:endnote>
  <w:endnote w:type="continuationSeparator" w:id="0">
    <w:p w:rsidR="00B15ECB" w:rsidRDefault="00B15ECB" w:rsidP="00DD48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5ECB" w:rsidRDefault="00B15ECB" w:rsidP="00DD481F">
      <w:pPr>
        <w:spacing w:after="0" w:line="240" w:lineRule="auto"/>
      </w:pPr>
      <w:r>
        <w:separator/>
      </w:r>
    </w:p>
  </w:footnote>
  <w:footnote w:type="continuationSeparator" w:id="0">
    <w:p w:rsidR="00B15ECB" w:rsidRDefault="00B15ECB" w:rsidP="00DD48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481F" w:rsidRDefault="00DD481F" w:rsidP="00DD481F">
    <w:pPr>
      <w:pStyle w:val="a3"/>
      <w:jc w:val="center"/>
      <w:rPr>
        <w:rtl/>
      </w:rPr>
    </w:pPr>
    <w:r>
      <w:rPr>
        <w:noProof/>
      </w:rPr>
      <w:drawing>
        <wp:inline distT="0" distB="0" distL="0" distR="0" wp14:anchorId="1C343DAC" wp14:editId="1B2EB155">
          <wp:extent cx="450850" cy="572770"/>
          <wp:effectExtent l="0" t="0" r="635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0850" cy="572770"/>
                  </a:xfrm>
                  <a:prstGeom prst="rect">
                    <a:avLst/>
                  </a:prstGeom>
                  <a:noFill/>
                </pic:spPr>
              </pic:pic>
            </a:graphicData>
          </a:graphic>
        </wp:inline>
      </w:drawing>
    </w:r>
  </w:p>
  <w:p w:rsidR="00DD481F" w:rsidRPr="00DD481F" w:rsidRDefault="00DD481F" w:rsidP="00DD481F">
    <w:pPr>
      <w:pStyle w:val="a3"/>
      <w:jc w:val="center"/>
      <w:rPr>
        <w:rFonts w:cs="David"/>
        <w:b/>
        <w:bCs/>
        <w:color w:val="000066"/>
        <w:sz w:val="28"/>
        <w:szCs w:val="28"/>
        <w:rtl/>
      </w:rPr>
    </w:pPr>
    <w:r w:rsidRPr="00DD481F">
      <w:rPr>
        <w:rFonts w:cs="David" w:hint="cs"/>
        <w:b/>
        <w:bCs/>
        <w:color w:val="000066"/>
        <w:sz w:val="28"/>
        <w:szCs w:val="28"/>
        <w:rtl/>
      </w:rPr>
      <w:t>המשרד</w:t>
    </w:r>
    <w:r w:rsidRPr="00DD481F">
      <w:rPr>
        <w:rFonts w:cs="David"/>
        <w:b/>
        <w:bCs/>
        <w:color w:val="000066"/>
        <w:sz w:val="28"/>
        <w:szCs w:val="28"/>
        <w:rtl/>
      </w:rPr>
      <w:t xml:space="preserve"> </w:t>
    </w:r>
    <w:r>
      <w:rPr>
        <w:rFonts w:cs="David" w:hint="cs"/>
        <w:b/>
        <w:bCs/>
        <w:color w:val="000066"/>
        <w:sz w:val="28"/>
        <w:szCs w:val="28"/>
        <w:rtl/>
      </w:rPr>
      <w:t>לפיתוח הנגב והגליל</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513AC2"/>
    <w:multiLevelType w:val="hybridMultilevel"/>
    <w:tmpl w:val="C4D480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81F"/>
    <w:rsid w:val="000165BE"/>
    <w:rsid w:val="0002287A"/>
    <w:rsid w:val="0002671F"/>
    <w:rsid w:val="001416A6"/>
    <w:rsid w:val="001576E2"/>
    <w:rsid w:val="001E6774"/>
    <w:rsid w:val="001F5227"/>
    <w:rsid w:val="001F669B"/>
    <w:rsid w:val="00210414"/>
    <w:rsid w:val="00235636"/>
    <w:rsid w:val="00246F3B"/>
    <w:rsid w:val="002A2FCB"/>
    <w:rsid w:val="002B04B3"/>
    <w:rsid w:val="002B26C7"/>
    <w:rsid w:val="002C5510"/>
    <w:rsid w:val="00350C89"/>
    <w:rsid w:val="00511A83"/>
    <w:rsid w:val="00513CF7"/>
    <w:rsid w:val="00592E54"/>
    <w:rsid w:val="005E3F36"/>
    <w:rsid w:val="006801F8"/>
    <w:rsid w:val="006913CD"/>
    <w:rsid w:val="006A527B"/>
    <w:rsid w:val="006D1B37"/>
    <w:rsid w:val="006E3C1E"/>
    <w:rsid w:val="006E426D"/>
    <w:rsid w:val="007027B4"/>
    <w:rsid w:val="0079665B"/>
    <w:rsid w:val="007C73F1"/>
    <w:rsid w:val="00812CAD"/>
    <w:rsid w:val="00847956"/>
    <w:rsid w:val="00926807"/>
    <w:rsid w:val="009466CF"/>
    <w:rsid w:val="00991A74"/>
    <w:rsid w:val="009A2495"/>
    <w:rsid w:val="00A12E78"/>
    <w:rsid w:val="00A17B09"/>
    <w:rsid w:val="00A234AD"/>
    <w:rsid w:val="00AB6FC5"/>
    <w:rsid w:val="00AE47F4"/>
    <w:rsid w:val="00B15ECB"/>
    <w:rsid w:val="00B33204"/>
    <w:rsid w:val="00C12C9A"/>
    <w:rsid w:val="00CD472A"/>
    <w:rsid w:val="00D10735"/>
    <w:rsid w:val="00DD481F"/>
    <w:rsid w:val="00E342FF"/>
    <w:rsid w:val="00F26F51"/>
    <w:rsid w:val="00F71BCB"/>
    <w:rsid w:val="00F8344C"/>
    <w:rsid w:val="00FB3F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481F"/>
    <w:pPr>
      <w:tabs>
        <w:tab w:val="center" w:pos="4153"/>
        <w:tab w:val="right" w:pos="8306"/>
      </w:tabs>
      <w:spacing w:after="0" w:line="240" w:lineRule="auto"/>
    </w:pPr>
  </w:style>
  <w:style w:type="character" w:customStyle="1" w:styleId="a4">
    <w:name w:val="כותרת עליונה תו"/>
    <w:basedOn w:val="a0"/>
    <w:link w:val="a3"/>
    <w:uiPriority w:val="99"/>
    <w:rsid w:val="00DD481F"/>
  </w:style>
  <w:style w:type="paragraph" w:styleId="a5">
    <w:name w:val="footer"/>
    <w:basedOn w:val="a"/>
    <w:link w:val="a6"/>
    <w:uiPriority w:val="99"/>
    <w:unhideWhenUsed/>
    <w:rsid w:val="00DD481F"/>
    <w:pPr>
      <w:tabs>
        <w:tab w:val="center" w:pos="4153"/>
        <w:tab w:val="right" w:pos="8306"/>
      </w:tabs>
      <w:spacing w:after="0" w:line="240" w:lineRule="auto"/>
    </w:pPr>
  </w:style>
  <w:style w:type="character" w:customStyle="1" w:styleId="a6">
    <w:name w:val="כותרת תחתונה תו"/>
    <w:basedOn w:val="a0"/>
    <w:link w:val="a5"/>
    <w:uiPriority w:val="99"/>
    <w:rsid w:val="00DD481F"/>
  </w:style>
  <w:style w:type="paragraph" w:styleId="a7">
    <w:name w:val="Balloon Text"/>
    <w:basedOn w:val="a"/>
    <w:link w:val="a8"/>
    <w:uiPriority w:val="99"/>
    <w:semiHidden/>
    <w:unhideWhenUsed/>
    <w:rsid w:val="00DD481F"/>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DD481F"/>
    <w:rPr>
      <w:rFonts w:ascii="Tahoma" w:hAnsi="Tahoma" w:cs="Tahoma"/>
      <w:sz w:val="16"/>
      <w:szCs w:val="16"/>
    </w:rPr>
  </w:style>
  <w:style w:type="paragraph" w:styleId="a9">
    <w:name w:val="List Paragraph"/>
    <w:basedOn w:val="a"/>
    <w:uiPriority w:val="34"/>
    <w:qFormat/>
    <w:rsid w:val="002B26C7"/>
    <w:pPr>
      <w:ind w:left="720"/>
      <w:contextualSpacing/>
    </w:pPr>
  </w:style>
  <w:style w:type="paragraph" w:styleId="aa">
    <w:name w:val="Plain Text"/>
    <w:basedOn w:val="a"/>
    <w:link w:val="ab"/>
    <w:uiPriority w:val="99"/>
    <w:semiHidden/>
    <w:unhideWhenUsed/>
    <w:rsid w:val="002B26C7"/>
    <w:pPr>
      <w:spacing w:after="0" w:line="240" w:lineRule="auto"/>
    </w:pPr>
    <w:rPr>
      <w:rFonts w:ascii="Calibri" w:hAnsi="Calibri"/>
      <w:szCs w:val="21"/>
    </w:rPr>
  </w:style>
  <w:style w:type="character" w:customStyle="1" w:styleId="ab">
    <w:name w:val="טקסט רגיל תו"/>
    <w:basedOn w:val="a0"/>
    <w:link w:val="aa"/>
    <w:uiPriority w:val="99"/>
    <w:semiHidden/>
    <w:rsid w:val="002B26C7"/>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481F"/>
    <w:pPr>
      <w:tabs>
        <w:tab w:val="center" w:pos="4153"/>
        <w:tab w:val="right" w:pos="8306"/>
      </w:tabs>
      <w:spacing w:after="0" w:line="240" w:lineRule="auto"/>
    </w:pPr>
  </w:style>
  <w:style w:type="character" w:customStyle="1" w:styleId="a4">
    <w:name w:val="כותרת עליונה תו"/>
    <w:basedOn w:val="a0"/>
    <w:link w:val="a3"/>
    <w:uiPriority w:val="99"/>
    <w:rsid w:val="00DD481F"/>
  </w:style>
  <w:style w:type="paragraph" w:styleId="a5">
    <w:name w:val="footer"/>
    <w:basedOn w:val="a"/>
    <w:link w:val="a6"/>
    <w:uiPriority w:val="99"/>
    <w:unhideWhenUsed/>
    <w:rsid w:val="00DD481F"/>
    <w:pPr>
      <w:tabs>
        <w:tab w:val="center" w:pos="4153"/>
        <w:tab w:val="right" w:pos="8306"/>
      </w:tabs>
      <w:spacing w:after="0" w:line="240" w:lineRule="auto"/>
    </w:pPr>
  </w:style>
  <w:style w:type="character" w:customStyle="1" w:styleId="a6">
    <w:name w:val="כותרת תחתונה תו"/>
    <w:basedOn w:val="a0"/>
    <w:link w:val="a5"/>
    <w:uiPriority w:val="99"/>
    <w:rsid w:val="00DD481F"/>
  </w:style>
  <w:style w:type="paragraph" w:styleId="a7">
    <w:name w:val="Balloon Text"/>
    <w:basedOn w:val="a"/>
    <w:link w:val="a8"/>
    <w:uiPriority w:val="99"/>
    <w:semiHidden/>
    <w:unhideWhenUsed/>
    <w:rsid w:val="00DD481F"/>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DD481F"/>
    <w:rPr>
      <w:rFonts w:ascii="Tahoma" w:hAnsi="Tahoma" w:cs="Tahoma"/>
      <w:sz w:val="16"/>
      <w:szCs w:val="16"/>
    </w:rPr>
  </w:style>
  <w:style w:type="paragraph" w:styleId="a9">
    <w:name w:val="List Paragraph"/>
    <w:basedOn w:val="a"/>
    <w:uiPriority w:val="34"/>
    <w:qFormat/>
    <w:rsid w:val="002B26C7"/>
    <w:pPr>
      <w:ind w:left="720"/>
      <w:contextualSpacing/>
    </w:pPr>
  </w:style>
  <w:style w:type="paragraph" w:styleId="aa">
    <w:name w:val="Plain Text"/>
    <w:basedOn w:val="a"/>
    <w:link w:val="ab"/>
    <w:uiPriority w:val="99"/>
    <w:semiHidden/>
    <w:unhideWhenUsed/>
    <w:rsid w:val="002B26C7"/>
    <w:pPr>
      <w:spacing w:after="0" w:line="240" w:lineRule="auto"/>
    </w:pPr>
    <w:rPr>
      <w:rFonts w:ascii="Calibri" w:hAnsi="Calibri"/>
      <w:szCs w:val="21"/>
    </w:rPr>
  </w:style>
  <w:style w:type="character" w:customStyle="1" w:styleId="ab">
    <w:name w:val="טקסט רגיל תו"/>
    <w:basedOn w:val="a0"/>
    <w:link w:val="aa"/>
    <w:uiPriority w:val="99"/>
    <w:semiHidden/>
    <w:rsid w:val="002B26C7"/>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0238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349</Words>
  <Characters>1747</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ענבל תמם</dc:creator>
  <cp:lastModifiedBy>דרור סורוקה</cp:lastModifiedBy>
  <cp:revision>2</cp:revision>
  <cp:lastPrinted>2014-05-04T05:24:00Z</cp:lastPrinted>
  <dcterms:created xsi:type="dcterms:W3CDTF">2014-06-08T08:45:00Z</dcterms:created>
  <dcterms:modified xsi:type="dcterms:W3CDTF">2014-06-08T08:45:00Z</dcterms:modified>
</cp:coreProperties>
</file>